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63" w:rsidRDefault="00A45863" w:rsidP="00A458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НОВОГОРЕНСКОГО  СЕЛЬСКОГО ПОСЕЛЕНИЯ </w:t>
      </w:r>
    </w:p>
    <w:p w:rsidR="00A45863" w:rsidRDefault="00A45863" w:rsidP="00A45863">
      <w:pPr>
        <w:jc w:val="center"/>
      </w:pPr>
      <w:r>
        <w:t>КОЛПАШЕВСКОГО РАЙОНА  ТОМСКОЙ ОБЛАСТИ</w:t>
      </w:r>
    </w:p>
    <w:p w:rsidR="00A45863" w:rsidRDefault="00A45863" w:rsidP="00A45863">
      <w:pPr>
        <w:rPr>
          <w:b/>
          <w:sz w:val="28"/>
          <w:szCs w:val="28"/>
        </w:rPr>
      </w:pPr>
    </w:p>
    <w:p w:rsidR="00A45863" w:rsidRDefault="00A45863" w:rsidP="00A45863">
      <w:pPr>
        <w:pStyle w:val="3"/>
        <w:jc w:val="center"/>
        <w:rPr>
          <w:rFonts w:ascii="Times New Roman" w:hAnsi="Times New Roman"/>
          <w:b w:val="0"/>
          <w:sz w:val="32"/>
          <w:szCs w:val="32"/>
        </w:rPr>
      </w:pPr>
      <w:proofErr w:type="gramStart"/>
      <w:r>
        <w:rPr>
          <w:rFonts w:ascii="Times New Roman" w:hAnsi="Times New Roman"/>
          <w:b w:val="0"/>
          <w:sz w:val="32"/>
          <w:szCs w:val="32"/>
        </w:rPr>
        <w:t>Р</w:t>
      </w:r>
      <w:proofErr w:type="gramEnd"/>
      <w:r>
        <w:rPr>
          <w:rFonts w:ascii="Times New Roman" w:hAnsi="Times New Roman"/>
          <w:b w:val="0"/>
          <w:sz w:val="32"/>
          <w:szCs w:val="32"/>
        </w:rPr>
        <w:t xml:space="preserve"> Е Ш Е Н И Е</w:t>
      </w:r>
    </w:p>
    <w:p w:rsidR="00A45863" w:rsidRDefault="00A45863" w:rsidP="00A45863"/>
    <w:p w:rsidR="00A45863" w:rsidRDefault="00A45863" w:rsidP="00A45863">
      <w:pPr>
        <w:pStyle w:val="3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28.01. 2022                                                                                                    № </w:t>
      </w:r>
      <w:r w:rsidR="00C47E48">
        <w:rPr>
          <w:rFonts w:ascii="Times New Roman" w:hAnsi="Times New Roman"/>
          <w:b w:val="0"/>
          <w:bCs w:val="0"/>
          <w:sz w:val="28"/>
          <w:szCs w:val="28"/>
        </w:rPr>
        <w:t>183</w:t>
      </w:r>
    </w:p>
    <w:p w:rsidR="00A45863" w:rsidRDefault="00A45863" w:rsidP="00A45863">
      <w:pPr>
        <w:rPr>
          <w:b/>
          <w:sz w:val="28"/>
          <w:szCs w:val="28"/>
        </w:rPr>
      </w:pPr>
    </w:p>
    <w:p w:rsidR="00A45863" w:rsidRPr="0093198B" w:rsidRDefault="00A45863" w:rsidP="00A45863">
      <w:pPr>
        <w:jc w:val="center"/>
        <w:rPr>
          <w:sz w:val="28"/>
          <w:szCs w:val="28"/>
        </w:rPr>
      </w:pPr>
    </w:p>
    <w:p w:rsidR="00A45863" w:rsidRPr="0093198B" w:rsidRDefault="00A45863" w:rsidP="00A45863">
      <w:pPr>
        <w:shd w:val="clear" w:color="auto" w:fill="FFFFFF"/>
        <w:tabs>
          <w:tab w:val="left" w:pos="6255"/>
        </w:tabs>
        <w:ind w:right="54"/>
        <w:jc w:val="center"/>
        <w:rPr>
          <w:sz w:val="28"/>
          <w:szCs w:val="28"/>
        </w:rPr>
      </w:pPr>
      <w:r w:rsidRPr="0093198B">
        <w:rPr>
          <w:sz w:val="28"/>
          <w:szCs w:val="28"/>
        </w:rPr>
        <w:t>О предоставлении иных межбюджетных трансфертов бюджету муниципального образования «</w:t>
      </w:r>
      <w:proofErr w:type="spellStart"/>
      <w:r w:rsidRPr="0093198B">
        <w:rPr>
          <w:sz w:val="28"/>
          <w:szCs w:val="28"/>
        </w:rPr>
        <w:t>Колпашевский</w:t>
      </w:r>
      <w:proofErr w:type="spellEnd"/>
      <w:r w:rsidRPr="0093198B">
        <w:rPr>
          <w:sz w:val="28"/>
          <w:szCs w:val="28"/>
        </w:rPr>
        <w:t xml:space="preserve"> район» для финансового обеспечения части переданных полномочий по решению вопроса местного значения  «Осуществление мер по противодействию коррупции в границах поселения»</w:t>
      </w:r>
    </w:p>
    <w:p w:rsidR="00A45863" w:rsidRPr="0093198B" w:rsidRDefault="00A45863" w:rsidP="00A45863">
      <w:pPr>
        <w:shd w:val="clear" w:color="auto" w:fill="FFFFFF"/>
        <w:tabs>
          <w:tab w:val="left" w:pos="6255"/>
        </w:tabs>
        <w:ind w:right="54"/>
        <w:jc w:val="center"/>
        <w:rPr>
          <w:sz w:val="28"/>
          <w:szCs w:val="28"/>
        </w:rPr>
      </w:pPr>
    </w:p>
    <w:p w:rsidR="00A45863" w:rsidRPr="0093198B" w:rsidRDefault="00A45863" w:rsidP="00A45863">
      <w:pPr>
        <w:shd w:val="clear" w:color="auto" w:fill="FFFFFF"/>
        <w:tabs>
          <w:tab w:val="left" w:pos="6255"/>
        </w:tabs>
        <w:ind w:right="54"/>
        <w:jc w:val="center"/>
        <w:rPr>
          <w:sz w:val="28"/>
          <w:szCs w:val="28"/>
        </w:rPr>
      </w:pPr>
    </w:p>
    <w:p w:rsidR="00A45863" w:rsidRPr="0093198B" w:rsidRDefault="00A45863" w:rsidP="00A45863">
      <w:pPr>
        <w:shd w:val="clear" w:color="auto" w:fill="FFFFFF"/>
        <w:tabs>
          <w:tab w:val="left" w:pos="6255"/>
        </w:tabs>
        <w:ind w:right="54"/>
        <w:rPr>
          <w:sz w:val="28"/>
          <w:szCs w:val="28"/>
        </w:rPr>
      </w:pPr>
      <w:r w:rsidRPr="0093198B">
        <w:rPr>
          <w:sz w:val="28"/>
          <w:szCs w:val="28"/>
        </w:rPr>
        <w:t xml:space="preserve">            В соответствии со статьей 142 Бюджетного кодекса Российской Федерации</w:t>
      </w:r>
    </w:p>
    <w:p w:rsidR="00A45863" w:rsidRPr="0093198B" w:rsidRDefault="00A45863" w:rsidP="00A45863">
      <w:pPr>
        <w:shd w:val="clear" w:color="auto" w:fill="FFFFFF"/>
        <w:tabs>
          <w:tab w:val="left" w:pos="6255"/>
        </w:tabs>
        <w:ind w:right="54"/>
        <w:rPr>
          <w:sz w:val="28"/>
          <w:szCs w:val="28"/>
        </w:rPr>
      </w:pPr>
      <w:r w:rsidRPr="0093198B">
        <w:rPr>
          <w:sz w:val="28"/>
          <w:szCs w:val="28"/>
        </w:rPr>
        <w:t xml:space="preserve">            Совет поселения РЕШИЛ:</w:t>
      </w:r>
    </w:p>
    <w:p w:rsidR="00A45863" w:rsidRPr="0093198B" w:rsidRDefault="00A45863" w:rsidP="00B539FD">
      <w:pPr>
        <w:pStyle w:val="a3"/>
        <w:shd w:val="clear" w:color="auto" w:fill="FFFFFF"/>
        <w:tabs>
          <w:tab w:val="left" w:pos="6255"/>
        </w:tabs>
        <w:ind w:left="142" w:right="54" w:firstLine="563"/>
        <w:jc w:val="both"/>
        <w:rPr>
          <w:sz w:val="28"/>
          <w:szCs w:val="28"/>
        </w:rPr>
      </w:pPr>
      <w:r w:rsidRPr="0093198B">
        <w:rPr>
          <w:sz w:val="28"/>
          <w:szCs w:val="28"/>
        </w:rPr>
        <w:t>1.Установить, что за счет средств бюджета  муниципального образования «</w:t>
      </w:r>
      <w:proofErr w:type="spellStart"/>
      <w:r w:rsidRPr="0093198B">
        <w:rPr>
          <w:sz w:val="28"/>
          <w:szCs w:val="28"/>
        </w:rPr>
        <w:t>Новогоренское</w:t>
      </w:r>
      <w:proofErr w:type="spellEnd"/>
      <w:r w:rsidRPr="0093198B">
        <w:rPr>
          <w:sz w:val="28"/>
          <w:szCs w:val="28"/>
        </w:rPr>
        <w:t xml:space="preserve"> сельское поселение» на 2022 год бюджету муниципального образования «</w:t>
      </w:r>
      <w:proofErr w:type="spellStart"/>
      <w:r w:rsidRPr="0093198B">
        <w:rPr>
          <w:sz w:val="28"/>
          <w:szCs w:val="28"/>
        </w:rPr>
        <w:t>Колпашевский</w:t>
      </w:r>
      <w:proofErr w:type="spellEnd"/>
      <w:r w:rsidRPr="0093198B">
        <w:rPr>
          <w:sz w:val="28"/>
          <w:szCs w:val="28"/>
        </w:rPr>
        <w:t xml:space="preserve"> район» предоставляются иные межбюджетные трансферты  для финансового обеспечения части переданных полномочий по решению вопроса местного значения  «Осуществление мер по противодействию коррупции в границах поселения» (далее – ИМБТ) в сумме 1000 (Одна тысяча) рублей. </w:t>
      </w:r>
    </w:p>
    <w:p w:rsidR="00B539FD" w:rsidRPr="0093198B" w:rsidRDefault="00B539FD" w:rsidP="00B539FD">
      <w:pPr>
        <w:pStyle w:val="a3"/>
        <w:shd w:val="clear" w:color="auto" w:fill="FFFFFF"/>
        <w:tabs>
          <w:tab w:val="left" w:pos="6255"/>
        </w:tabs>
        <w:ind w:left="142" w:right="54" w:firstLine="563"/>
        <w:jc w:val="both"/>
        <w:rPr>
          <w:sz w:val="28"/>
          <w:szCs w:val="28"/>
        </w:rPr>
      </w:pPr>
      <w:r w:rsidRPr="0093198B">
        <w:rPr>
          <w:sz w:val="28"/>
          <w:szCs w:val="28"/>
        </w:rPr>
        <w:t>2. Средства ИМБТ направляются на приобретение канцелярских товаров, на оказание услуг связи (в том числе почтовой связи).</w:t>
      </w:r>
    </w:p>
    <w:p w:rsidR="00B539FD" w:rsidRPr="0093198B" w:rsidRDefault="00B539FD" w:rsidP="00B539FD">
      <w:pPr>
        <w:pStyle w:val="a3"/>
        <w:shd w:val="clear" w:color="auto" w:fill="FFFFFF"/>
        <w:tabs>
          <w:tab w:val="left" w:pos="6255"/>
        </w:tabs>
        <w:ind w:left="142" w:right="54" w:firstLine="563"/>
        <w:jc w:val="both"/>
        <w:rPr>
          <w:sz w:val="28"/>
          <w:szCs w:val="28"/>
        </w:rPr>
      </w:pPr>
      <w:r w:rsidRPr="0093198B">
        <w:rPr>
          <w:sz w:val="28"/>
          <w:szCs w:val="28"/>
        </w:rPr>
        <w:t>3. Средства ИМБТ перечисляются муниципальному образованию «</w:t>
      </w:r>
      <w:proofErr w:type="spellStart"/>
      <w:r w:rsidRPr="0093198B">
        <w:rPr>
          <w:sz w:val="28"/>
          <w:szCs w:val="28"/>
        </w:rPr>
        <w:t>Колпашевский</w:t>
      </w:r>
      <w:proofErr w:type="spellEnd"/>
      <w:r w:rsidRPr="0093198B">
        <w:rPr>
          <w:sz w:val="28"/>
          <w:szCs w:val="28"/>
        </w:rPr>
        <w:t xml:space="preserve"> район» с </w:t>
      </w:r>
      <w:proofErr w:type="gramStart"/>
      <w:r w:rsidRPr="0093198B">
        <w:rPr>
          <w:sz w:val="28"/>
          <w:szCs w:val="28"/>
        </w:rPr>
        <w:t>соответствии</w:t>
      </w:r>
      <w:proofErr w:type="gramEnd"/>
      <w:r w:rsidRPr="0093198B">
        <w:rPr>
          <w:sz w:val="28"/>
          <w:szCs w:val="28"/>
        </w:rPr>
        <w:t xml:space="preserve"> со сводной бюджетной росписью, кассовым планом.</w:t>
      </w:r>
    </w:p>
    <w:p w:rsidR="00B539FD" w:rsidRPr="0093198B" w:rsidRDefault="00B539FD" w:rsidP="00B539FD">
      <w:pPr>
        <w:pStyle w:val="a3"/>
        <w:shd w:val="clear" w:color="auto" w:fill="FFFFFF"/>
        <w:tabs>
          <w:tab w:val="left" w:pos="6255"/>
        </w:tabs>
        <w:ind w:left="142" w:right="54" w:firstLine="563"/>
        <w:jc w:val="both"/>
        <w:rPr>
          <w:sz w:val="28"/>
          <w:szCs w:val="28"/>
        </w:rPr>
      </w:pPr>
      <w:r w:rsidRPr="0093198B">
        <w:rPr>
          <w:sz w:val="28"/>
          <w:szCs w:val="28"/>
        </w:rPr>
        <w:t xml:space="preserve">4.Условием предоставления ИМБТ является </w:t>
      </w:r>
      <w:proofErr w:type="gramStart"/>
      <w:r w:rsidRPr="0093198B">
        <w:rPr>
          <w:sz w:val="28"/>
          <w:szCs w:val="28"/>
        </w:rPr>
        <w:t>заключении</w:t>
      </w:r>
      <w:proofErr w:type="gramEnd"/>
      <w:r w:rsidRPr="0093198B">
        <w:rPr>
          <w:sz w:val="28"/>
          <w:szCs w:val="28"/>
        </w:rPr>
        <w:t xml:space="preserve"> соглашения о предоставлении ИМБТ (далее - Соглашение).</w:t>
      </w:r>
    </w:p>
    <w:p w:rsidR="00B539FD" w:rsidRPr="0093198B" w:rsidRDefault="00B539FD" w:rsidP="00B539FD">
      <w:pPr>
        <w:pStyle w:val="a3"/>
        <w:shd w:val="clear" w:color="auto" w:fill="FFFFFF"/>
        <w:tabs>
          <w:tab w:val="left" w:pos="6255"/>
        </w:tabs>
        <w:ind w:left="142" w:right="54" w:firstLine="563"/>
        <w:jc w:val="both"/>
        <w:rPr>
          <w:sz w:val="28"/>
          <w:szCs w:val="28"/>
        </w:rPr>
      </w:pPr>
      <w:r w:rsidRPr="0093198B">
        <w:rPr>
          <w:sz w:val="28"/>
          <w:szCs w:val="28"/>
        </w:rPr>
        <w:t>5. В соглашении должны быть предусмотрены следующие положения:</w:t>
      </w:r>
    </w:p>
    <w:p w:rsidR="00B539FD" w:rsidRPr="0093198B" w:rsidRDefault="00B539FD" w:rsidP="00B539FD">
      <w:pPr>
        <w:pStyle w:val="a3"/>
        <w:shd w:val="clear" w:color="auto" w:fill="FFFFFF"/>
        <w:tabs>
          <w:tab w:val="left" w:pos="6255"/>
        </w:tabs>
        <w:ind w:left="142" w:right="54" w:firstLine="563"/>
        <w:jc w:val="both"/>
        <w:rPr>
          <w:sz w:val="28"/>
          <w:szCs w:val="28"/>
        </w:rPr>
      </w:pPr>
      <w:r w:rsidRPr="0093198B">
        <w:rPr>
          <w:sz w:val="28"/>
          <w:szCs w:val="28"/>
        </w:rPr>
        <w:t>5.1. целевое назначение;</w:t>
      </w:r>
    </w:p>
    <w:p w:rsidR="00B539FD" w:rsidRPr="0093198B" w:rsidRDefault="00B539FD" w:rsidP="00B539FD">
      <w:pPr>
        <w:pStyle w:val="a3"/>
        <w:shd w:val="clear" w:color="auto" w:fill="FFFFFF"/>
        <w:tabs>
          <w:tab w:val="left" w:pos="6255"/>
        </w:tabs>
        <w:ind w:left="142" w:right="54" w:firstLine="563"/>
        <w:jc w:val="both"/>
        <w:rPr>
          <w:sz w:val="28"/>
          <w:szCs w:val="28"/>
        </w:rPr>
      </w:pPr>
      <w:r w:rsidRPr="0093198B">
        <w:rPr>
          <w:sz w:val="28"/>
          <w:szCs w:val="28"/>
        </w:rPr>
        <w:t>5.2.условия предоставления и расходования ИМБТ;</w:t>
      </w:r>
    </w:p>
    <w:p w:rsidR="00B539FD" w:rsidRPr="0093198B" w:rsidRDefault="00B539FD" w:rsidP="00B539FD">
      <w:pPr>
        <w:pStyle w:val="a3"/>
        <w:shd w:val="clear" w:color="auto" w:fill="FFFFFF"/>
        <w:tabs>
          <w:tab w:val="left" w:pos="6255"/>
        </w:tabs>
        <w:ind w:left="142" w:right="54" w:firstLine="563"/>
        <w:jc w:val="both"/>
        <w:rPr>
          <w:sz w:val="28"/>
          <w:szCs w:val="28"/>
        </w:rPr>
      </w:pPr>
      <w:r w:rsidRPr="0093198B">
        <w:rPr>
          <w:sz w:val="28"/>
          <w:szCs w:val="28"/>
        </w:rPr>
        <w:t>5.3.сведения о размере ИМБТ;</w:t>
      </w:r>
    </w:p>
    <w:p w:rsidR="00B539FD" w:rsidRPr="0093198B" w:rsidRDefault="00B539FD" w:rsidP="00B539FD">
      <w:pPr>
        <w:pStyle w:val="a3"/>
        <w:shd w:val="clear" w:color="auto" w:fill="FFFFFF"/>
        <w:tabs>
          <w:tab w:val="left" w:pos="6255"/>
        </w:tabs>
        <w:ind w:left="142" w:right="54" w:firstLine="563"/>
        <w:jc w:val="both"/>
        <w:rPr>
          <w:sz w:val="28"/>
          <w:szCs w:val="28"/>
        </w:rPr>
      </w:pPr>
      <w:r w:rsidRPr="0093198B">
        <w:rPr>
          <w:sz w:val="28"/>
          <w:szCs w:val="28"/>
        </w:rPr>
        <w:t>5.4.сроки и порядок предоставления отчетности.</w:t>
      </w:r>
    </w:p>
    <w:p w:rsidR="00B539FD" w:rsidRPr="0093198B" w:rsidRDefault="00B539FD" w:rsidP="00B539FD">
      <w:pPr>
        <w:pStyle w:val="a3"/>
        <w:shd w:val="clear" w:color="auto" w:fill="FFFFFF"/>
        <w:tabs>
          <w:tab w:val="left" w:pos="6255"/>
        </w:tabs>
        <w:ind w:left="142" w:right="54" w:firstLine="563"/>
        <w:jc w:val="both"/>
        <w:rPr>
          <w:sz w:val="28"/>
          <w:szCs w:val="28"/>
        </w:rPr>
      </w:pPr>
      <w:r w:rsidRPr="0093198B">
        <w:rPr>
          <w:sz w:val="28"/>
          <w:szCs w:val="28"/>
        </w:rPr>
        <w:t xml:space="preserve">6.Соглашение заключается между Администрацией  </w:t>
      </w:r>
      <w:proofErr w:type="spellStart"/>
      <w:r w:rsidRPr="0093198B">
        <w:rPr>
          <w:sz w:val="28"/>
          <w:szCs w:val="28"/>
        </w:rPr>
        <w:t>Новогоренского</w:t>
      </w:r>
      <w:proofErr w:type="spellEnd"/>
      <w:r w:rsidRPr="0093198B">
        <w:rPr>
          <w:sz w:val="28"/>
          <w:szCs w:val="28"/>
        </w:rPr>
        <w:t xml:space="preserve"> сельского поселения и Администрацией </w:t>
      </w:r>
      <w:proofErr w:type="spellStart"/>
      <w:r w:rsidRPr="0093198B">
        <w:rPr>
          <w:sz w:val="28"/>
          <w:szCs w:val="28"/>
        </w:rPr>
        <w:t>Колпашевского</w:t>
      </w:r>
      <w:proofErr w:type="spellEnd"/>
      <w:r w:rsidRPr="0093198B">
        <w:rPr>
          <w:sz w:val="28"/>
          <w:szCs w:val="28"/>
        </w:rPr>
        <w:t xml:space="preserve"> района.</w:t>
      </w:r>
    </w:p>
    <w:p w:rsidR="00B539FD" w:rsidRPr="0093198B" w:rsidRDefault="00B539FD" w:rsidP="00B539FD">
      <w:pPr>
        <w:pStyle w:val="a3"/>
        <w:shd w:val="clear" w:color="auto" w:fill="FFFFFF"/>
        <w:tabs>
          <w:tab w:val="left" w:pos="6255"/>
        </w:tabs>
        <w:ind w:left="142" w:right="54" w:firstLine="563"/>
        <w:jc w:val="both"/>
        <w:rPr>
          <w:sz w:val="28"/>
          <w:szCs w:val="28"/>
        </w:rPr>
      </w:pPr>
      <w:r w:rsidRPr="0093198B">
        <w:rPr>
          <w:sz w:val="28"/>
          <w:szCs w:val="28"/>
        </w:rPr>
        <w:t>7.Установить, что выделенные средства ИМБТ должны быть использованы по целевому назначению в срок до  20 декабря 2022 года. Остаток средств ИМБТ, неиспользованный по целевому назначению, подлежит возврату в бюджет муниципального образования «</w:t>
      </w:r>
      <w:proofErr w:type="spellStart"/>
      <w:r w:rsidRPr="0093198B">
        <w:rPr>
          <w:sz w:val="28"/>
          <w:szCs w:val="28"/>
        </w:rPr>
        <w:t>Новогоренское</w:t>
      </w:r>
      <w:proofErr w:type="spellEnd"/>
      <w:r w:rsidRPr="0093198B">
        <w:rPr>
          <w:sz w:val="28"/>
          <w:szCs w:val="28"/>
        </w:rPr>
        <w:t xml:space="preserve"> </w:t>
      </w:r>
      <w:r w:rsidRPr="0093198B">
        <w:rPr>
          <w:sz w:val="28"/>
          <w:szCs w:val="28"/>
        </w:rPr>
        <w:lastRenderedPageBreak/>
        <w:t>сельское поселение» в срок не позднее 25 декабря 2022 года.</w:t>
      </w:r>
    </w:p>
    <w:p w:rsidR="00B539FD" w:rsidRPr="0093198B" w:rsidRDefault="00B539FD" w:rsidP="00B539FD">
      <w:pPr>
        <w:pStyle w:val="a3"/>
        <w:shd w:val="clear" w:color="auto" w:fill="FFFFFF"/>
        <w:tabs>
          <w:tab w:val="left" w:pos="6255"/>
        </w:tabs>
        <w:ind w:left="142" w:right="54" w:firstLine="563"/>
        <w:jc w:val="both"/>
        <w:rPr>
          <w:sz w:val="28"/>
          <w:szCs w:val="28"/>
        </w:rPr>
      </w:pPr>
      <w:r w:rsidRPr="0093198B">
        <w:rPr>
          <w:sz w:val="28"/>
          <w:szCs w:val="28"/>
        </w:rPr>
        <w:t xml:space="preserve">8. Настоящее решение вступает в силу  </w:t>
      </w:r>
      <w:proofErr w:type="gramStart"/>
      <w:r w:rsidRPr="0093198B">
        <w:rPr>
          <w:sz w:val="28"/>
          <w:szCs w:val="28"/>
        </w:rPr>
        <w:t>с</w:t>
      </w:r>
      <w:proofErr w:type="gramEnd"/>
      <w:r w:rsidRPr="0093198B">
        <w:rPr>
          <w:sz w:val="28"/>
          <w:szCs w:val="28"/>
        </w:rPr>
        <w:t xml:space="preserve"> даты его официального опубликования и распространяет свое действие на правоотношения, возникшие с 1 января 2022 года.</w:t>
      </w:r>
    </w:p>
    <w:p w:rsidR="0093198B" w:rsidRDefault="0093198B" w:rsidP="00B539FD">
      <w:pPr>
        <w:pStyle w:val="a3"/>
        <w:shd w:val="clear" w:color="auto" w:fill="FFFFFF"/>
        <w:tabs>
          <w:tab w:val="left" w:pos="6255"/>
        </w:tabs>
        <w:ind w:left="142" w:right="54" w:firstLine="563"/>
        <w:jc w:val="both"/>
        <w:rPr>
          <w:sz w:val="28"/>
          <w:szCs w:val="28"/>
        </w:rPr>
      </w:pPr>
      <w:r w:rsidRPr="0093198B">
        <w:rPr>
          <w:sz w:val="28"/>
          <w:szCs w:val="28"/>
        </w:rPr>
        <w:t xml:space="preserve">9. Настоящее решение опубликовать в Ведомостях органов местного самоуправления </w:t>
      </w:r>
      <w:proofErr w:type="spellStart"/>
      <w:r w:rsidRPr="0093198B">
        <w:rPr>
          <w:sz w:val="28"/>
          <w:szCs w:val="28"/>
        </w:rPr>
        <w:t>Новогоренского</w:t>
      </w:r>
      <w:proofErr w:type="spellEnd"/>
      <w:r w:rsidRPr="0093198B">
        <w:rPr>
          <w:sz w:val="28"/>
          <w:szCs w:val="28"/>
        </w:rPr>
        <w:t xml:space="preserve"> сельского поселения  и разместить на официальном сайте органов местного самоуправления муниципального образования «</w:t>
      </w:r>
      <w:proofErr w:type="spellStart"/>
      <w:r w:rsidRPr="0093198B">
        <w:rPr>
          <w:sz w:val="28"/>
          <w:szCs w:val="28"/>
        </w:rPr>
        <w:t>Новогоренское</w:t>
      </w:r>
      <w:proofErr w:type="spellEnd"/>
      <w:r w:rsidRPr="0093198B">
        <w:rPr>
          <w:sz w:val="28"/>
          <w:szCs w:val="28"/>
        </w:rPr>
        <w:t xml:space="preserve"> сельское поселение».</w:t>
      </w:r>
    </w:p>
    <w:p w:rsidR="0093198B" w:rsidRDefault="0093198B" w:rsidP="00B539FD">
      <w:pPr>
        <w:pStyle w:val="a3"/>
        <w:shd w:val="clear" w:color="auto" w:fill="FFFFFF"/>
        <w:tabs>
          <w:tab w:val="left" w:pos="6255"/>
        </w:tabs>
        <w:ind w:left="142" w:right="54" w:firstLine="563"/>
        <w:jc w:val="both"/>
        <w:rPr>
          <w:sz w:val="28"/>
          <w:szCs w:val="28"/>
        </w:rPr>
      </w:pPr>
    </w:p>
    <w:p w:rsidR="0093198B" w:rsidRPr="0093198B" w:rsidRDefault="0093198B" w:rsidP="00B539FD">
      <w:pPr>
        <w:pStyle w:val="a3"/>
        <w:shd w:val="clear" w:color="auto" w:fill="FFFFFF"/>
        <w:tabs>
          <w:tab w:val="left" w:pos="6255"/>
        </w:tabs>
        <w:ind w:left="142" w:right="54" w:firstLine="563"/>
        <w:jc w:val="both"/>
        <w:rPr>
          <w:sz w:val="28"/>
          <w:szCs w:val="28"/>
        </w:rPr>
      </w:pPr>
    </w:p>
    <w:p w:rsidR="0093198B" w:rsidRDefault="0093198B" w:rsidP="0093198B">
      <w:pPr>
        <w:shd w:val="clear" w:color="auto" w:fill="FFFFFF"/>
        <w:tabs>
          <w:tab w:val="left" w:pos="6255"/>
        </w:tabs>
        <w:ind w:right="54"/>
        <w:rPr>
          <w:sz w:val="28"/>
          <w:szCs w:val="28"/>
        </w:rPr>
      </w:pPr>
      <w:r w:rsidRPr="0093198B">
        <w:rPr>
          <w:sz w:val="28"/>
          <w:szCs w:val="28"/>
        </w:rPr>
        <w:t xml:space="preserve">Председатель Совета </w:t>
      </w:r>
      <w:proofErr w:type="spellStart"/>
      <w:r w:rsidRPr="0093198B">
        <w:rPr>
          <w:sz w:val="28"/>
          <w:szCs w:val="28"/>
        </w:rPr>
        <w:t>Новогоренского</w:t>
      </w:r>
      <w:proofErr w:type="spellEnd"/>
      <w:r w:rsidRPr="0093198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сельского поселения                                           </w:t>
      </w:r>
      <w:r>
        <w:rPr>
          <w:sz w:val="28"/>
          <w:szCs w:val="28"/>
        </w:rPr>
        <w:t xml:space="preserve">                          </w:t>
      </w:r>
      <w:r w:rsidRPr="0093198B">
        <w:rPr>
          <w:sz w:val="28"/>
          <w:szCs w:val="28"/>
        </w:rPr>
        <w:t xml:space="preserve">   А.Н. Петрова</w:t>
      </w:r>
    </w:p>
    <w:p w:rsidR="0093198B" w:rsidRDefault="0093198B" w:rsidP="0093198B">
      <w:pPr>
        <w:shd w:val="clear" w:color="auto" w:fill="FFFFFF"/>
        <w:tabs>
          <w:tab w:val="left" w:pos="6255"/>
        </w:tabs>
        <w:ind w:right="54"/>
        <w:rPr>
          <w:sz w:val="28"/>
          <w:szCs w:val="28"/>
        </w:rPr>
      </w:pPr>
    </w:p>
    <w:p w:rsidR="0093198B" w:rsidRPr="0093198B" w:rsidRDefault="0093198B" w:rsidP="0093198B">
      <w:pPr>
        <w:shd w:val="clear" w:color="auto" w:fill="FFFFFF"/>
        <w:tabs>
          <w:tab w:val="left" w:pos="6255"/>
        </w:tabs>
        <w:ind w:right="5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сельского поселения                                                                      И.А. Комарова</w:t>
      </w:r>
    </w:p>
    <w:p w:rsidR="0093198B" w:rsidRPr="0093198B" w:rsidRDefault="0093198B" w:rsidP="0093198B">
      <w:pPr>
        <w:shd w:val="clear" w:color="auto" w:fill="FFFFFF"/>
        <w:tabs>
          <w:tab w:val="left" w:pos="6255"/>
        </w:tabs>
        <w:ind w:right="54"/>
        <w:rPr>
          <w:sz w:val="28"/>
          <w:szCs w:val="28"/>
        </w:rPr>
      </w:pPr>
    </w:p>
    <w:p w:rsidR="0093198B" w:rsidRPr="0093198B" w:rsidRDefault="0093198B" w:rsidP="0093198B">
      <w:pPr>
        <w:shd w:val="clear" w:color="auto" w:fill="FFFFFF"/>
        <w:tabs>
          <w:tab w:val="left" w:pos="6255"/>
        </w:tabs>
        <w:ind w:right="54"/>
        <w:rPr>
          <w:sz w:val="28"/>
          <w:szCs w:val="28"/>
        </w:rPr>
      </w:pPr>
    </w:p>
    <w:p w:rsidR="00AD6585" w:rsidRPr="0093198B" w:rsidRDefault="00AD6585" w:rsidP="00B539FD">
      <w:pPr>
        <w:jc w:val="both"/>
        <w:rPr>
          <w:sz w:val="28"/>
          <w:szCs w:val="28"/>
        </w:rPr>
      </w:pPr>
    </w:p>
    <w:sectPr w:rsidR="00AD6585" w:rsidRPr="0093198B" w:rsidSect="00AD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502"/>
    <w:multiLevelType w:val="hybridMultilevel"/>
    <w:tmpl w:val="8DC2C71E"/>
    <w:lvl w:ilvl="0" w:tplc="CF4881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073A07"/>
    <w:multiLevelType w:val="hybridMultilevel"/>
    <w:tmpl w:val="BD06430E"/>
    <w:lvl w:ilvl="0" w:tplc="45B485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5863"/>
    <w:rsid w:val="0093198B"/>
    <w:rsid w:val="00A45863"/>
    <w:rsid w:val="00AD6585"/>
    <w:rsid w:val="00B539FD"/>
    <w:rsid w:val="00C47E48"/>
    <w:rsid w:val="00DA2A3A"/>
    <w:rsid w:val="00EF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458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4586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45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E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PrintMaster</cp:lastModifiedBy>
  <cp:revision>2</cp:revision>
  <cp:lastPrinted>2022-01-28T03:43:00Z</cp:lastPrinted>
  <dcterms:created xsi:type="dcterms:W3CDTF">2022-01-28T03:45:00Z</dcterms:created>
  <dcterms:modified xsi:type="dcterms:W3CDTF">2022-01-28T03:45:00Z</dcterms:modified>
</cp:coreProperties>
</file>